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8A08E" w14:textId="2A214E62" w:rsidR="007B5CDA" w:rsidRDefault="007B5CDA" w:rsidP="007B5CDA">
      <w:pPr>
        <w:jc w:val="center"/>
      </w:pPr>
      <w:r>
        <w:rPr>
          <w:noProof/>
        </w:rPr>
        <w:drawing>
          <wp:inline distT="0" distB="0" distL="0" distR="0" wp14:anchorId="4B1725C8" wp14:editId="715C861B">
            <wp:extent cx="2683510" cy="1896236"/>
            <wp:effectExtent l="0" t="0" r="2540" b="889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sody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922" cy="190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8BF98" w14:textId="0456B52D" w:rsidR="007B5CDA" w:rsidRDefault="007B5CDA" w:rsidP="007B5CDA">
      <w:pPr>
        <w:jc w:val="both"/>
        <w:rPr>
          <w:rFonts w:ascii="Century Gothic" w:hAnsi="Century Gothic"/>
          <w:b/>
          <w:bCs/>
          <w:sz w:val="24"/>
          <w:szCs w:val="24"/>
          <w:u w:val="single"/>
        </w:rPr>
      </w:pPr>
      <w:r w:rsidRPr="007B5CDA">
        <w:rPr>
          <w:rFonts w:ascii="Century Gothic" w:hAnsi="Century Gothic"/>
          <w:b/>
          <w:bCs/>
          <w:sz w:val="24"/>
          <w:szCs w:val="24"/>
          <w:u w:val="single"/>
        </w:rPr>
        <w:t>GSK</w:t>
      </w:r>
    </w:p>
    <w:p w14:paraId="35037FEC" w14:textId="412147B4" w:rsidR="007B5CDA" w:rsidRPr="007B5CDA" w:rsidRDefault="007B5CDA" w:rsidP="007B5CDA">
      <w:pPr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  <w:r w:rsidRPr="007B5CDA">
        <w:rPr>
          <w:rFonts w:ascii="Century Gothic" w:hAnsi="Century Gothic"/>
          <w:sz w:val="24"/>
          <w:szCs w:val="24"/>
        </w:rPr>
        <w:t>GSK Consumer Healthcare provides a range of specialist therapeutic oral care products which are clinically proven to help patients with oral health conditions such as: dentine hypersensitivity, gingivitis, erosive tooth wear and xerostomia. Our mission is to improve the quality of human life by enabling people to do more, feel better, live longer.</w:t>
      </w:r>
    </w:p>
    <w:p w14:paraId="18F96F16" w14:textId="77777777" w:rsidR="007B5CDA" w:rsidRPr="007B5CDA" w:rsidRDefault="007B5CDA" w:rsidP="007B5CDA">
      <w:pPr>
        <w:jc w:val="both"/>
        <w:rPr>
          <w:rFonts w:ascii="Century Gothic" w:hAnsi="Century Gothic"/>
          <w:sz w:val="24"/>
          <w:szCs w:val="24"/>
        </w:rPr>
      </w:pPr>
      <w:r w:rsidRPr="007B5CDA">
        <w:rPr>
          <w:rFonts w:ascii="Century Gothic" w:hAnsi="Century Gothic"/>
          <w:sz w:val="24"/>
          <w:szCs w:val="24"/>
        </w:rPr>
        <w:t>GSK proudly works closely with the BSP as one of their partner sponsors, helping to promote a better understanding of periodontitis and its impact on patients. Work this year included sponsorship of a series of webinars related to the new classification. In addition, an interactive lunch and learn module and distance learner CPD module were developed using a patient case study developed by the BSP and classification resources to drive practical implementation of the new guidance in general practice.</w:t>
      </w:r>
    </w:p>
    <w:p w14:paraId="34275EAF" w14:textId="77777777" w:rsidR="007B5CDA" w:rsidRPr="007B5CDA" w:rsidRDefault="007B5CDA" w:rsidP="007B5CDA">
      <w:pPr>
        <w:jc w:val="both"/>
        <w:rPr>
          <w:rFonts w:ascii="Century Gothic" w:hAnsi="Century Gothic"/>
          <w:sz w:val="24"/>
          <w:szCs w:val="24"/>
        </w:rPr>
      </w:pPr>
    </w:p>
    <w:p w14:paraId="483A9DA8" w14:textId="77777777" w:rsidR="001729DC" w:rsidRPr="007B5CDA" w:rsidRDefault="001729DC">
      <w:pPr>
        <w:rPr>
          <w:rFonts w:ascii="Century Gothic" w:hAnsi="Century Gothic"/>
          <w:sz w:val="24"/>
          <w:szCs w:val="24"/>
        </w:rPr>
      </w:pPr>
    </w:p>
    <w:sectPr w:rsidR="001729DC" w:rsidRPr="007B5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F0"/>
    <w:rsid w:val="001729DC"/>
    <w:rsid w:val="007B5CDA"/>
    <w:rsid w:val="00BE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1B033"/>
  <w15:chartTrackingRefBased/>
  <w15:docId w15:val="{D4482BC6-3760-4BEC-B006-FFAA75E4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2019-12-17T12:13:00Z</dcterms:created>
  <dcterms:modified xsi:type="dcterms:W3CDTF">2019-12-17T12:16:00Z</dcterms:modified>
</cp:coreProperties>
</file>